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D0CB" w14:textId="77777777" w:rsidR="00CC4521" w:rsidRDefault="00CC4521" w:rsidP="00CC4521">
      <w:pPr>
        <w:pStyle w:val="ListParagraph"/>
        <w:spacing w:before="100" w:beforeAutospacing="1" w:after="100" w:afterAutospacing="1" w:line="360" w:lineRule="auto"/>
        <w:jc w:val="center"/>
        <w:rPr>
          <w:rFonts w:ascii="Arial" w:hAnsi="Arial" w:cs="Arial"/>
          <w:sz w:val="24"/>
          <w:szCs w:val="24"/>
        </w:rPr>
      </w:pPr>
    </w:p>
    <w:p w14:paraId="4F4AA4C6" w14:textId="77777777" w:rsidR="00CC4521" w:rsidRDefault="00CC4521" w:rsidP="00CC4521">
      <w:pPr>
        <w:pStyle w:val="ListParagraph"/>
        <w:spacing w:before="100" w:beforeAutospacing="1" w:after="100" w:afterAutospacing="1" w:line="360" w:lineRule="auto"/>
        <w:jc w:val="center"/>
        <w:rPr>
          <w:rFonts w:ascii="Arial" w:hAnsi="Arial" w:cs="Arial"/>
          <w:sz w:val="24"/>
          <w:szCs w:val="24"/>
        </w:rPr>
      </w:pPr>
    </w:p>
    <w:p w14:paraId="0311E058" w14:textId="77777777" w:rsidR="00CC4521" w:rsidRDefault="00CC4521" w:rsidP="00CC4521">
      <w:pPr>
        <w:pStyle w:val="ListParagraph"/>
        <w:spacing w:before="100" w:beforeAutospacing="1" w:after="100" w:afterAutospacing="1" w:line="360" w:lineRule="auto"/>
        <w:jc w:val="center"/>
        <w:rPr>
          <w:rFonts w:ascii="Arial" w:hAnsi="Arial" w:cs="Arial"/>
          <w:sz w:val="24"/>
          <w:szCs w:val="24"/>
        </w:rPr>
      </w:pPr>
    </w:p>
    <w:p w14:paraId="074136DA" w14:textId="77777777" w:rsidR="00CC4521" w:rsidRDefault="00CC4521" w:rsidP="00CC4521">
      <w:pPr>
        <w:pStyle w:val="ListParagraph"/>
        <w:spacing w:before="100" w:beforeAutospacing="1" w:after="100" w:afterAutospacing="1" w:line="360" w:lineRule="auto"/>
        <w:jc w:val="center"/>
        <w:rPr>
          <w:rFonts w:ascii="Arial" w:hAnsi="Arial" w:cs="Arial"/>
          <w:sz w:val="24"/>
          <w:szCs w:val="24"/>
        </w:rPr>
      </w:pPr>
    </w:p>
    <w:p w14:paraId="42985FDC" w14:textId="77777777" w:rsidR="00CC4521" w:rsidRDefault="00CC4521" w:rsidP="00CC4521">
      <w:pPr>
        <w:pStyle w:val="ListParagraph"/>
        <w:spacing w:before="100" w:beforeAutospacing="1" w:after="100" w:afterAutospacing="1" w:line="360" w:lineRule="auto"/>
        <w:jc w:val="center"/>
        <w:rPr>
          <w:rFonts w:ascii="Arial" w:hAnsi="Arial" w:cs="Arial"/>
          <w:sz w:val="24"/>
          <w:szCs w:val="24"/>
        </w:rPr>
      </w:pPr>
    </w:p>
    <w:p w14:paraId="59064427" w14:textId="77777777" w:rsidR="001879B5" w:rsidRPr="00810156" w:rsidRDefault="001879B5" w:rsidP="00CC4521">
      <w:pPr>
        <w:pStyle w:val="ListParagraph"/>
        <w:spacing w:before="100" w:beforeAutospacing="1" w:after="100" w:afterAutospacing="1" w:line="360" w:lineRule="auto"/>
        <w:jc w:val="center"/>
        <w:rPr>
          <w:rFonts w:ascii="Arial" w:hAnsi="Arial" w:cs="Arial"/>
          <w:sz w:val="24"/>
          <w:szCs w:val="24"/>
        </w:rPr>
      </w:pPr>
      <w:r w:rsidRPr="00810156">
        <w:rPr>
          <w:rFonts w:ascii="Arial" w:hAnsi="Arial" w:cs="Arial"/>
          <w:noProof/>
          <w:sz w:val="24"/>
          <w:szCs w:val="24"/>
          <w:lang w:eastAsia="en-IE"/>
        </w:rPr>
        <w:drawing>
          <wp:inline distT="0" distB="0" distL="0" distR="0" wp14:anchorId="40F72E16" wp14:editId="375F0513">
            <wp:extent cx="2066290" cy="273353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0060" cy="2764976"/>
                    </a:xfrm>
                    <a:prstGeom prst="rect">
                      <a:avLst/>
                    </a:prstGeom>
                  </pic:spPr>
                </pic:pic>
              </a:graphicData>
            </a:graphic>
          </wp:inline>
        </w:drawing>
      </w:r>
    </w:p>
    <w:tbl>
      <w:tblPr>
        <w:tblW w:w="5000" w:type="pct"/>
        <w:jc w:val="center"/>
        <w:tblLook w:val="04A0" w:firstRow="1" w:lastRow="0" w:firstColumn="1" w:lastColumn="0" w:noHBand="0" w:noVBand="1"/>
      </w:tblPr>
      <w:tblGrid>
        <w:gridCol w:w="9026"/>
      </w:tblGrid>
      <w:tr w:rsidR="001879B5" w:rsidRPr="00CC4521" w14:paraId="494244D6" w14:textId="77777777" w:rsidTr="00F841FA">
        <w:trPr>
          <w:trHeight w:val="1440"/>
          <w:jc w:val="center"/>
        </w:trPr>
        <w:tc>
          <w:tcPr>
            <w:tcW w:w="5000" w:type="pct"/>
            <w:tcBorders>
              <w:bottom w:val="single" w:sz="4" w:space="0" w:color="4472C4" w:themeColor="accent1"/>
            </w:tcBorders>
            <w:vAlign w:val="center"/>
          </w:tcPr>
          <w:p w14:paraId="011FAB6B" w14:textId="77777777" w:rsidR="00CC4521" w:rsidRDefault="00CC4521" w:rsidP="00CC4521">
            <w:pPr>
              <w:pStyle w:val="Subtitle"/>
              <w:spacing w:before="100" w:beforeAutospacing="1" w:after="100" w:afterAutospacing="1" w:line="360" w:lineRule="auto"/>
              <w:jc w:val="center"/>
              <w:rPr>
                <w:rFonts w:asciiTheme="minorHAnsi" w:hAnsiTheme="minorHAnsi" w:cstheme="minorHAnsi"/>
                <w:b/>
                <w:i w:val="0"/>
                <w:sz w:val="28"/>
                <w:szCs w:val="28"/>
              </w:rPr>
            </w:pPr>
          </w:p>
          <w:p w14:paraId="4D8A4395" w14:textId="28A90F48" w:rsidR="00881245" w:rsidRDefault="001879B5" w:rsidP="00CC4521">
            <w:pPr>
              <w:pStyle w:val="Subtitle"/>
              <w:spacing w:before="100" w:beforeAutospacing="1" w:after="100" w:afterAutospacing="1" w:line="360" w:lineRule="auto"/>
              <w:jc w:val="center"/>
              <w:rPr>
                <w:rFonts w:asciiTheme="minorHAnsi" w:hAnsiTheme="minorHAnsi" w:cstheme="minorHAnsi"/>
                <w:b/>
                <w:i w:val="0"/>
                <w:sz w:val="28"/>
                <w:szCs w:val="28"/>
              </w:rPr>
            </w:pPr>
            <w:r w:rsidRPr="00CC4521">
              <w:rPr>
                <w:rFonts w:asciiTheme="minorHAnsi" w:hAnsiTheme="minorHAnsi" w:cstheme="minorHAnsi"/>
                <w:b/>
                <w:i w:val="0"/>
                <w:sz w:val="28"/>
                <w:szCs w:val="28"/>
              </w:rPr>
              <w:t>Submission to</w:t>
            </w:r>
            <w:r w:rsidR="00881245">
              <w:rPr>
                <w:rFonts w:asciiTheme="minorHAnsi" w:hAnsiTheme="minorHAnsi" w:cstheme="minorHAnsi"/>
                <w:b/>
                <w:i w:val="0"/>
                <w:sz w:val="28"/>
                <w:szCs w:val="28"/>
              </w:rPr>
              <w:t xml:space="preserve"> the Irish Human Rights and Equality Commission’s (IHREC) </w:t>
            </w:r>
            <w:r w:rsidR="00881245" w:rsidRPr="00881245">
              <w:rPr>
                <w:rFonts w:asciiTheme="minorHAnsi" w:hAnsiTheme="minorHAnsi" w:cstheme="minorHAnsi"/>
                <w:b/>
                <w:i w:val="0"/>
                <w:sz w:val="28"/>
                <w:szCs w:val="28"/>
              </w:rPr>
              <w:t>Public Sector Du</w:t>
            </w:r>
            <w:r w:rsidR="00881245">
              <w:rPr>
                <w:rFonts w:asciiTheme="minorHAnsi" w:hAnsiTheme="minorHAnsi" w:cstheme="minorHAnsi"/>
                <w:b/>
                <w:i w:val="0"/>
                <w:sz w:val="28"/>
                <w:szCs w:val="28"/>
              </w:rPr>
              <w:t>ty Code of Practice Consultation</w:t>
            </w:r>
          </w:p>
          <w:p w14:paraId="3E0A6083" w14:textId="5886FC4F" w:rsidR="001879B5" w:rsidRPr="00CC4521" w:rsidRDefault="00881245" w:rsidP="00CC4521">
            <w:pPr>
              <w:pStyle w:val="Subtitle"/>
              <w:spacing w:before="100" w:beforeAutospacing="1" w:after="100" w:afterAutospacing="1" w:line="360" w:lineRule="auto"/>
              <w:jc w:val="center"/>
              <w:rPr>
                <w:rFonts w:asciiTheme="minorHAnsi" w:hAnsiTheme="minorHAnsi" w:cstheme="minorHAnsi"/>
                <w:b/>
                <w:i w:val="0"/>
                <w:sz w:val="28"/>
                <w:szCs w:val="28"/>
              </w:rPr>
            </w:pPr>
            <w:r>
              <w:rPr>
                <w:rFonts w:asciiTheme="minorHAnsi" w:hAnsiTheme="minorHAnsi" w:cstheme="minorHAnsi"/>
                <w:b/>
                <w:i w:val="0"/>
                <w:sz w:val="28"/>
                <w:szCs w:val="28"/>
              </w:rPr>
              <w:t>3 July 2023</w:t>
            </w:r>
          </w:p>
          <w:p w14:paraId="2F256938" w14:textId="07CD36EE" w:rsidR="00CC4521" w:rsidRPr="00CC4521" w:rsidRDefault="00CC4521" w:rsidP="00602338">
            <w:pPr>
              <w:spacing w:before="100" w:beforeAutospacing="1" w:after="100" w:afterAutospacing="1" w:line="360" w:lineRule="auto"/>
              <w:jc w:val="both"/>
              <w:rPr>
                <w:rFonts w:cstheme="minorHAnsi"/>
              </w:rPr>
            </w:pPr>
          </w:p>
        </w:tc>
      </w:tr>
    </w:tbl>
    <w:p w14:paraId="53D99A0F" w14:textId="77777777" w:rsidR="001879B5" w:rsidRPr="00CC4521" w:rsidRDefault="001879B5" w:rsidP="00602338">
      <w:pPr>
        <w:spacing w:after="0" w:line="240" w:lineRule="auto"/>
        <w:jc w:val="both"/>
        <w:rPr>
          <w:rFonts w:eastAsiaTheme="minorEastAsia" w:cstheme="minorHAnsi"/>
          <w:b/>
          <w:noProof/>
          <w:color w:val="4472C4" w:themeColor="accent1"/>
          <w:lang w:eastAsia="en-IE"/>
        </w:rPr>
      </w:pPr>
      <w:r w:rsidRPr="00CC4521">
        <w:rPr>
          <w:rFonts w:eastAsiaTheme="minorEastAsia" w:cstheme="minorHAnsi"/>
          <w:b/>
          <w:noProof/>
          <w:color w:val="4472C4" w:themeColor="accent1"/>
          <w:lang w:eastAsia="en-IE"/>
        </w:rPr>
        <w:t>Mercy Law Resource Centre</w:t>
      </w:r>
    </w:p>
    <w:p w14:paraId="5DF80165" w14:textId="77777777" w:rsidR="001879B5" w:rsidRPr="00CC4521" w:rsidRDefault="001879B5" w:rsidP="00602338">
      <w:pPr>
        <w:spacing w:after="0" w:line="240" w:lineRule="auto"/>
        <w:jc w:val="both"/>
        <w:rPr>
          <w:rFonts w:eastAsiaTheme="minorEastAsia" w:cstheme="minorHAnsi"/>
          <w:b/>
          <w:noProof/>
          <w:color w:val="4472C4" w:themeColor="accent1"/>
          <w:lang w:eastAsia="en-IE"/>
        </w:rPr>
      </w:pPr>
      <w:r w:rsidRPr="00CC4521">
        <w:rPr>
          <w:rFonts w:eastAsiaTheme="minorEastAsia" w:cstheme="minorHAnsi"/>
          <w:b/>
          <w:noProof/>
          <w:color w:val="4472C4" w:themeColor="accent1"/>
          <w:lang w:eastAsia="en-IE"/>
        </w:rPr>
        <w:t>25 Cork Street</w:t>
      </w:r>
    </w:p>
    <w:p w14:paraId="0E5A78A1" w14:textId="77777777" w:rsidR="001879B5" w:rsidRPr="00CC4521" w:rsidRDefault="001879B5" w:rsidP="00602338">
      <w:pPr>
        <w:spacing w:after="0" w:line="240" w:lineRule="auto"/>
        <w:jc w:val="both"/>
        <w:rPr>
          <w:rFonts w:eastAsiaTheme="minorEastAsia" w:cstheme="minorHAnsi"/>
          <w:b/>
          <w:noProof/>
          <w:color w:val="4472C4" w:themeColor="accent1"/>
          <w:lang w:eastAsia="en-IE"/>
        </w:rPr>
      </w:pPr>
      <w:r w:rsidRPr="00CC4521">
        <w:rPr>
          <w:rFonts w:eastAsiaTheme="minorEastAsia" w:cstheme="minorHAnsi"/>
          <w:b/>
          <w:noProof/>
          <w:color w:val="4472C4" w:themeColor="accent1"/>
          <w:lang w:eastAsia="en-IE"/>
        </w:rPr>
        <w:t>Dublin 8</w:t>
      </w:r>
    </w:p>
    <w:p w14:paraId="3FD27268" w14:textId="77777777" w:rsidR="001879B5" w:rsidRPr="00CC4521" w:rsidRDefault="001879B5" w:rsidP="00602338">
      <w:pPr>
        <w:spacing w:after="0" w:line="240" w:lineRule="auto"/>
        <w:jc w:val="both"/>
        <w:rPr>
          <w:rFonts w:eastAsiaTheme="minorEastAsia" w:cstheme="minorHAnsi"/>
          <w:b/>
          <w:noProof/>
          <w:color w:val="4472C4" w:themeColor="accent1"/>
          <w:lang w:eastAsia="en-IE"/>
        </w:rPr>
      </w:pPr>
      <w:r w:rsidRPr="00CC4521">
        <w:rPr>
          <w:rFonts w:eastAsiaTheme="minorEastAsia" w:cstheme="minorHAnsi"/>
          <w:b/>
          <w:noProof/>
          <w:color w:val="4472C4" w:themeColor="accent1"/>
          <w:lang w:eastAsia="en-IE"/>
        </w:rPr>
        <w:t>Ireland</w:t>
      </w:r>
    </w:p>
    <w:p w14:paraId="077BE949" w14:textId="77777777" w:rsidR="001879B5" w:rsidRPr="00CC4521" w:rsidRDefault="001879B5" w:rsidP="00602338">
      <w:pPr>
        <w:spacing w:after="0" w:line="240" w:lineRule="auto"/>
        <w:jc w:val="both"/>
        <w:rPr>
          <w:rFonts w:eastAsiaTheme="minorEastAsia" w:cstheme="minorHAnsi"/>
          <w:b/>
          <w:noProof/>
          <w:color w:val="4472C4" w:themeColor="accent1"/>
          <w:lang w:eastAsia="en-IE"/>
        </w:rPr>
      </w:pPr>
      <w:r w:rsidRPr="00CC4521">
        <w:rPr>
          <w:rFonts w:eastAsiaTheme="minorEastAsia" w:cstheme="minorHAnsi"/>
          <w:b/>
          <w:noProof/>
          <w:color w:val="4472C4" w:themeColor="accent1"/>
          <w:lang w:eastAsia="en-IE"/>
        </w:rPr>
        <w:t>Phone: 01 453 7459</w:t>
      </w:r>
    </w:p>
    <w:p w14:paraId="37B13F68" w14:textId="77777777" w:rsidR="001879B5" w:rsidRPr="00CC4521" w:rsidRDefault="001879B5" w:rsidP="00602338">
      <w:pPr>
        <w:spacing w:after="0" w:line="240" w:lineRule="auto"/>
        <w:jc w:val="both"/>
        <w:rPr>
          <w:rFonts w:eastAsiaTheme="minorEastAsia" w:cstheme="minorHAnsi"/>
          <w:b/>
          <w:noProof/>
          <w:color w:val="4472C4" w:themeColor="accent1"/>
          <w:lang w:eastAsia="en-IE"/>
        </w:rPr>
      </w:pPr>
      <w:r w:rsidRPr="00CC4521">
        <w:rPr>
          <w:rFonts w:eastAsiaTheme="minorEastAsia" w:cstheme="minorHAnsi"/>
          <w:b/>
          <w:noProof/>
          <w:color w:val="4472C4" w:themeColor="accent1"/>
          <w:lang w:eastAsia="en-IE"/>
        </w:rPr>
        <w:t>Fax: 01 453 7455</w:t>
      </w:r>
    </w:p>
    <w:p w14:paraId="25DA40DD" w14:textId="3E6F39C3" w:rsidR="001879B5" w:rsidRPr="00CC4521" w:rsidRDefault="0051102B" w:rsidP="00602338">
      <w:pPr>
        <w:spacing w:after="0" w:line="240" w:lineRule="auto"/>
        <w:jc w:val="both"/>
        <w:rPr>
          <w:rStyle w:val="Hyperlink"/>
          <w:rFonts w:eastAsiaTheme="minorEastAsia" w:cstheme="minorHAnsi"/>
          <w:b/>
          <w:noProof/>
          <w:color w:val="4472C4" w:themeColor="accent1"/>
          <w:lang w:eastAsia="en-IE"/>
        </w:rPr>
      </w:pPr>
      <w:hyperlink r:id="rId8" w:history="1">
        <w:r w:rsidR="001879B5" w:rsidRPr="00CC4521">
          <w:rPr>
            <w:rStyle w:val="Hyperlink"/>
            <w:rFonts w:eastAsiaTheme="minorEastAsia" w:cstheme="minorHAnsi"/>
            <w:b/>
            <w:noProof/>
            <w:color w:val="4472C4" w:themeColor="accent1"/>
            <w:lang w:eastAsia="en-IE"/>
          </w:rPr>
          <w:t>www.mercylaw.ie</w:t>
        </w:r>
      </w:hyperlink>
    </w:p>
    <w:p w14:paraId="665BFDDC" w14:textId="7226DECC" w:rsidR="001879B5" w:rsidRPr="00CC4521" w:rsidRDefault="001879B5" w:rsidP="00602338">
      <w:pPr>
        <w:spacing w:after="0" w:line="240" w:lineRule="auto"/>
        <w:jc w:val="both"/>
        <w:rPr>
          <w:rStyle w:val="Hyperlink"/>
          <w:rFonts w:eastAsiaTheme="minorEastAsia" w:cstheme="minorHAnsi"/>
          <w:b/>
          <w:noProof/>
          <w:color w:val="4472C4" w:themeColor="accent1"/>
          <w:lang w:eastAsia="en-IE"/>
        </w:rPr>
      </w:pPr>
    </w:p>
    <w:p w14:paraId="76460279" w14:textId="0FD215BE" w:rsidR="00881245" w:rsidRPr="004005BC" w:rsidRDefault="001879B5" w:rsidP="001607EF">
      <w:pPr>
        <w:numPr>
          <w:ilvl w:val="0"/>
          <w:numId w:val="7"/>
        </w:numPr>
        <w:spacing w:after="2" w:line="256" w:lineRule="auto"/>
        <w:ind w:hanging="360"/>
        <w:jc w:val="both"/>
        <w:rPr>
          <w:rFonts w:cstheme="minorHAnsi"/>
          <w:szCs w:val="24"/>
        </w:rPr>
      </w:pPr>
      <w:r w:rsidRPr="00CC4521">
        <w:rPr>
          <w:rFonts w:eastAsiaTheme="minorEastAsia" w:cstheme="minorHAnsi"/>
          <w:b/>
          <w:noProof/>
          <w:color w:val="4472C4" w:themeColor="accent1"/>
          <w:lang w:eastAsia="en-IE"/>
        </w:rPr>
        <w:t>Mercy Law Resource Centre Limited is a company limited by guarantee and not having a share capital, registered in Dublin, Ireland. Co.Reg No:471072.  It is also a registered charity, Chy No:18698. Director</w:t>
      </w:r>
      <w:r w:rsidR="00C92C4A" w:rsidRPr="00CC4521">
        <w:rPr>
          <w:rFonts w:eastAsiaTheme="minorEastAsia" w:cstheme="minorHAnsi"/>
          <w:b/>
          <w:noProof/>
          <w:color w:val="4472C4" w:themeColor="accent1"/>
          <w:lang w:eastAsia="en-IE"/>
        </w:rPr>
        <w:t>s: Edward Gleeson, Catherine Dooley, Cara Nagle, Ciara McGrath, Deirdre Quigley, Stewart Reddin, Gerry Whyte, Liam Twohig</w:t>
      </w:r>
      <w:r w:rsidR="009B106C" w:rsidRPr="00CC4521">
        <w:rPr>
          <w:rFonts w:eastAsiaTheme="minorEastAsia" w:cstheme="minorHAnsi"/>
          <w:b/>
          <w:noProof/>
          <w:color w:val="4472C4" w:themeColor="accent1"/>
          <w:lang w:eastAsia="en-IE"/>
        </w:rPr>
        <w:t xml:space="preserve"> and Eamonn Casey</w:t>
      </w:r>
      <w:r w:rsidR="00810156" w:rsidRPr="00CC4521">
        <w:rPr>
          <w:rFonts w:cstheme="minorHAnsi"/>
          <w:b/>
          <w:u w:val="single"/>
        </w:rPr>
        <w:br w:type="page"/>
      </w:r>
      <w:r w:rsidR="001607EF" w:rsidRPr="004005BC">
        <w:rPr>
          <w:rFonts w:cstheme="minorHAnsi"/>
          <w:szCs w:val="24"/>
        </w:rPr>
        <w:lastRenderedPageBreak/>
        <w:t xml:space="preserve"> </w:t>
      </w:r>
    </w:p>
    <w:p w14:paraId="76D9E453" w14:textId="77777777" w:rsidR="00881245" w:rsidRPr="004005BC" w:rsidRDefault="00881245" w:rsidP="00881245">
      <w:pPr>
        <w:numPr>
          <w:ilvl w:val="0"/>
          <w:numId w:val="7"/>
        </w:numPr>
        <w:spacing w:after="2" w:line="256" w:lineRule="auto"/>
        <w:ind w:hanging="360"/>
        <w:jc w:val="both"/>
        <w:rPr>
          <w:rFonts w:cstheme="minorHAnsi"/>
          <w:szCs w:val="24"/>
        </w:rPr>
      </w:pPr>
      <w:r w:rsidRPr="004005BC">
        <w:rPr>
          <w:rFonts w:cstheme="minorHAnsi"/>
          <w:szCs w:val="24"/>
        </w:rPr>
        <w:t xml:space="preserve">Is the information contained in the draft code accurate?  If there are inaccuracies, please identity these by referencing a page and paragraph number. </w:t>
      </w:r>
    </w:p>
    <w:p w14:paraId="20193479" w14:textId="77777777" w:rsidR="00881245" w:rsidRPr="004005BC" w:rsidRDefault="00881245" w:rsidP="00881245">
      <w:pPr>
        <w:spacing w:after="2" w:line="256" w:lineRule="auto"/>
        <w:ind w:left="1065"/>
        <w:rPr>
          <w:rFonts w:cstheme="minorHAnsi"/>
          <w:szCs w:val="24"/>
        </w:rPr>
      </w:pPr>
    </w:p>
    <w:tbl>
      <w:tblPr>
        <w:tblStyle w:val="TableGrid"/>
        <w:tblW w:w="7950" w:type="dxa"/>
        <w:tblInd w:w="1091" w:type="dxa"/>
        <w:tblCellMar>
          <w:top w:w="138" w:type="dxa"/>
          <w:left w:w="150" w:type="dxa"/>
          <w:right w:w="115" w:type="dxa"/>
        </w:tblCellMar>
        <w:tblLook w:val="04A0" w:firstRow="1" w:lastRow="0" w:firstColumn="1" w:lastColumn="0" w:noHBand="0" w:noVBand="1"/>
      </w:tblPr>
      <w:tblGrid>
        <w:gridCol w:w="7950"/>
      </w:tblGrid>
      <w:tr w:rsidR="00881245" w:rsidRPr="004005BC" w14:paraId="466FC6F8" w14:textId="77777777" w:rsidTr="00CC6B95">
        <w:trPr>
          <w:trHeight w:val="1634"/>
        </w:trPr>
        <w:tc>
          <w:tcPr>
            <w:tcW w:w="7950" w:type="dxa"/>
            <w:tcBorders>
              <w:top w:val="single" w:sz="6" w:space="0" w:color="000000"/>
              <w:left w:val="single" w:sz="7" w:space="0" w:color="000000"/>
              <w:bottom w:val="single" w:sz="6" w:space="0" w:color="000000"/>
              <w:right w:val="single" w:sz="6" w:space="0" w:color="000000"/>
            </w:tcBorders>
          </w:tcPr>
          <w:p w14:paraId="01FEC43A" w14:textId="77777777" w:rsidR="00881245" w:rsidRPr="004005BC" w:rsidRDefault="00881245" w:rsidP="00CC6B95">
            <w:pPr>
              <w:spacing w:line="259" w:lineRule="auto"/>
              <w:rPr>
                <w:rFonts w:cstheme="minorHAnsi"/>
                <w:szCs w:val="24"/>
              </w:rPr>
            </w:pPr>
            <w:r w:rsidRPr="004005BC">
              <w:rPr>
                <w:rFonts w:cstheme="minorHAnsi"/>
                <w:szCs w:val="24"/>
              </w:rPr>
              <w:t xml:space="preserve"> </w:t>
            </w:r>
            <w:r>
              <w:rPr>
                <w:rFonts w:cstheme="minorHAnsi"/>
                <w:szCs w:val="24"/>
              </w:rPr>
              <w:t>The information in the draft code is accurate.</w:t>
            </w:r>
          </w:p>
          <w:p w14:paraId="25BA9660" w14:textId="77777777" w:rsidR="00881245" w:rsidRPr="004005BC" w:rsidRDefault="00881245" w:rsidP="00CC6B95">
            <w:pPr>
              <w:spacing w:line="259" w:lineRule="auto"/>
              <w:rPr>
                <w:rFonts w:cstheme="minorHAnsi"/>
                <w:szCs w:val="24"/>
              </w:rPr>
            </w:pPr>
          </w:p>
          <w:p w14:paraId="0227A84A" w14:textId="77777777" w:rsidR="00881245" w:rsidRPr="004005BC" w:rsidRDefault="00881245" w:rsidP="00CC6B95">
            <w:pPr>
              <w:spacing w:line="259" w:lineRule="auto"/>
              <w:rPr>
                <w:rFonts w:cstheme="minorHAnsi"/>
                <w:szCs w:val="24"/>
              </w:rPr>
            </w:pPr>
          </w:p>
        </w:tc>
      </w:tr>
    </w:tbl>
    <w:p w14:paraId="4930F8C1" w14:textId="77777777" w:rsidR="00881245" w:rsidRPr="004005BC" w:rsidRDefault="00881245" w:rsidP="00881245">
      <w:pPr>
        <w:spacing w:after="0"/>
        <w:ind w:left="1080"/>
        <w:rPr>
          <w:rFonts w:cstheme="minorHAnsi"/>
          <w:szCs w:val="24"/>
        </w:rPr>
      </w:pPr>
      <w:r w:rsidRPr="004005BC">
        <w:rPr>
          <w:rFonts w:cstheme="minorHAnsi"/>
          <w:szCs w:val="24"/>
        </w:rPr>
        <w:t xml:space="preserve"> </w:t>
      </w:r>
    </w:p>
    <w:p w14:paraId="76C3DABA" w14:textId="77777777" w:rsidR="00881245" w:rsidRPr="004005BC" w:rsidRDefault="00881245" w:rsidP="00881245">
      <w:pPr>
        <w:numPr>
          <w:ilvl w:val="0"/>
          <w:numId w:val="7"/>
        </w:numPr>
        <w:spacing w:after="2" w:line="256" w:lineRule="auto"/>
        <w:ind w:hanging="360"/>
        <w:jc w:val="both"/>
        <w:rPr>
          <w:rFonts w:cstheme="minorHAnsi"/>
          <w:szCs w:val="24"/>
        </w:rPr>
      </w:pPr>
      <w:r w:rsidRPr="004005BC">
        <w:rPr>
          <w:rFonts w:cstheme="minorHAnsi"/>
          <w:szCs w:val="24"/>
        </w:rPr>
        <w:t xml:space="preserve">The purpose of the draft code is to reflect the relevant law and the definitions within the law.  The Code explains the different definitions of “public body”, “human rights”, “discrimination” “equality of opportunity and treatment” within the relevant laws including the Irish Human Rights and Equality Act 2014.  Do you have any comments on the explanation of the various definitions in the draft code?  </w:t>
      </w:r>
    </w:p>
    <w:p w14:paraId="52AB10DF" w14:textId="77777777" w:rsidR="00881245" w:rsidRPr="004005BC" w:rsidRDefault="00881245" w:rsidP="00881245">
      <w:pPr>
        <w:spacing w:after="0"/>
        <w:ind w:left="720" w:right="49"/>
        <w:rPr>
          <w:rFonts w:cstheme="minorHAnsi"/>
          <w:szCs w:val="24"/>
        </w:rPr>
      </w:pPr>
      <w:r w:rsidRPr="004005BC">
        <w:rPr>
          <w:rFonts w:cstheme="minorHAnsi"/>
          <w:szCs w:val="24"/>
        </w:rPr>
        <w:t xml:space="preserve"> </w:t>
      </w:r>
    </w:p>
    <w:tbl>
      <w:tblPr>
        <w:tblStyle w:val="TableGrid"/>
        <w:tblW w:w="7876" w:type="dxa"/>
        <w:tblInd w:w="1151" w:type="dxa"/>
        <w:tblCellMar>
          <w:top w:w="141" w:type="dxa"/>
          <w:left w:w="150" w:type="dxa"/>
          <w:right w:w="115" w:type="dxa"/>
        </w:tblCellMar>
        <w:tblLook w:val="04A0" w:firstRow="1" w:lastRow="0" w:firstColumn="1" w:lastColumn="0" w:noHBand="0" w:noVBand="1"/>
      </w:tblPr>
      <w:tblGrid>
        <w:gridCol w:w="7876"/>
      </w:tblGrid>
      <w:tr w:rsidR="00881245" w:rsidRPr="004005BC" w14:paraId="021D9DA8" w14:textId="77777777" w:rsidTr="00CC6B95">
        <w:trPr>
          <w:trHeight w:val="1126"/>
        </w:trPr>
        <w:tc>
          <w:tcPr>
            <w:tcW w:w="7876" w:type="dxa"/>
            <w:tcBorders>
              <w:top w:val="single" w:sz="6" w:space="0" w:color="000000"/>
              <w:left w:val="single" w:sz="7" w:space="0" w:color="000000"/>
              <w:bottom w:val="single" w:sz="6" w:space="0" w:color="000000"/>
              <w:right w:val="single" w:sz="6" w:space="0" w:color="000000"/>
            </w:tcBorders>
          </w:tcPr>
          <w:p w14:paraId="07B32C3B" w14:textId="77777777" w:rsidR="00881245" w:rsidRPr="004005BC" w:rsidRDefault="00881245" w:rsidP="00CC6B95">
            <w:pPr>
              <w:spacing w:line="259" w:lineRule="auto"/>
              <w:rPr>
                <w:rFonts w:cstheme="minorHAnsi"/>
                <w:szCs w:val="24"/>
              </w:rPr>
            </w:pPr>
            <w:r w:rsidRPr="004005BC">
              <w:rPr>
                <w:rFonts w:cstheme="minorHAnsi"/>
                <w:szCs w:val="24"/>
              </w:rPr>
              <w:t xml:space="preserve"> </w:t>
            </w:r>
            <w:r w:rsidRPr="004005BC">
              <w:rPr>
                <w:rFonts w:cstheme="minorHAnsi"/>
                <w:szCs w:val="24"/>
              </w:rPr>
              <w:tab/>
              <w:t xml:space="preserve"> </w:t>
            </w:r>
          </w:p>
          <w:p w14:paraId="7FB49884" w14:textId="77777777" w:rsidR="00881245" w:rsidRPr="004005BC" w:rsidRDefault="00881245" w:rsidP="00CC6B95">
            <w:pPr>
              <w:spacing w:line="259" w:lineRule="auto"/>
              <w:rPr>
                <w:rFonts w:cstheme="minorHAnsi"/>
                <w:szCs w:val="24"/>
              </w:rPr>
            </w:pPr>
            <w:r>
              <w:rPr>
                <w:rFonts w:cstheme="minorHAnsi"/>
                <w:szCs w:val="24"/>
              </w:rPr>
              <w:t>The definitions are explained clearly.</w:t>
            </w:r>
          </w:p>
          <w:p w14:paraId="4E4BEBED" w14:textId="77777777" w:rsidR="00881245" w:rsidRPr="004005BC" w:rsidRDefault="00881245" w:rsidP="00CC6B95">
            <w:pPr>
              <w:spacing w:line="259" w:lineRule="auto"/>
              <w:rPr>
                <w:rFonts w:cstheme="minorHAnsi"/>
                <w:szCs w:val="24"/>
              </w:rPr>
            </w:pPr>
          </w:p>
          <w:p w14:paraId="51A6B332" w14:textId="77777777" w:rsidR="00881245" w:rsidRPr="004005BC" w:rsidRDefault="00881245" w:rsidP="00CC6B95">
            <w:pPr>
              <w:spacing w:line="259" w:lineRule="auto"/>
              <w:rPr>
                <w:rFonts w:cstheme="minorHAnsi"/>
                <w:szCs w:val="24"/>
              </w:rPr>
            </w:pPr>
          </w:p>
          <w:p w14:paraId="033565AD" w14:textId="77777777" w:rsidR="00881245" w:rsidRPr="004005BC" w:rsidRDefault="00881245" w:rsidP="00CC6B95">
            <w:pPr>
              <w:spacing w:line="259" w:lineRule="auto"/>
              <w:rPr>
                <w:rFonts w:cstheme="minorHAnsi"/>
                <w:szCs w:val="24"/>
              </w:rPr>
            </w:pPr>
          </w:p>
          <w:p w14:paraId="328A4F87" w14:textId="77777777" w:rsidR="00881245" w:rsidRPr="004005BC" w:rsidRDefault="00881245" w:rsidP="00CC6B95">
            <w:pPr>
              <w:spacing w:line="259" w:lineRule="auto"/>
              <w:rPr>
                <w:rFonts w:cstheme="minorHAnsi"/>
                <w:szCs w:val="24"/>
              </w:rPr>
            </w:pPr>
          </w:p>
          <w:p w14:paraId="7F19B1ED" w14:textId="77777777" w:rsidR="00881245" w:rsidRPr="004005BC" w:rsidRDefault="00881245" w:rsidP="00CC6B95">
            <w:pPr>
              <w:spacing w:line="259" w:lineRule="auto"/>
              <w:rPr>
                <w:rFonts w:cstheme="minorHAnsi"/>
                <w:szCs w:val="24"/>
              </w:rPr>
            </w:pPr>
          </w:p>
          <w:p w14:paraId="17CBD7AC" w14:textId="77777777" w:rsidR="00881245" w:rsidRPr="004005BC" w:rsidRDefault="00881245" w:rsidP="00CC6B95">
            <w:pPr>
              <w:spacing w:line="259" w:lineRule="auto"/>
              <w:rPr>
                <w:rFonts w:cstheme="minorHAnsi"/>
                <w:szCs w:val="24"/>
              </w:rPr>
            </w:pPr>
          </w:p>
        </w:tc>
      </w:tr>
    </w:tbl>
    <w:p w14:paraId="4535E40A" w14:textId="77777777" w:rsidR="00881245" w:rsidRPr="004005BC" w:rsidRDefault="00881245" w:rsidP="00881245">
      <w:pPr>
        <w:spacing w:after="0"/>
        <w:ind w:left="1080"/>
        <w:rPr>
          <w:rFonts w:cstheme="minorHAnsi"/>
          <w:szCs w:val="24"/>
        </w:rPr>
      </w:pPr>
      <w:r w:rsidRPr="004005BC">
        <w:rPr>
          <w:rFonts w:cstheme="minorHAnsi"/>
          <w:szCs w:val="24"/>
        </w:rPr>
        <w:t xml:space="preserve"> </w:t>
      </w:r>
    </w:p>
    <w:p w14:paraId="3F7A1B58" w14:textId="77777777" w:rsidR="00881245" w:rsidRPr="004005BC" w:rsidRDefault="00881245" w:rsidP="00881245">
      <w:pPr>
        <w:numPr>
          <w:ilvl w:val="0"/>
          <w:numId w:val="7"/>
        </w:numPr>
        <w:spacing w:after="2" w:line="256" w:lineRule="auto"/>
        <w:ind w:hanging="360"/>
        <w:jc w:val="both"/>
        <w:rPr>
          <w:rFonts w:cstheme="minorHAnsi"/>
          <w:szCs w:val="24"/>
        </w:rPr>
      </w:pPr>
      <w:r w:rsidRPr="004005BC">
        <w:rPr>
          <w:rFonts w:cstheme="minorHAnsi"/>
          <w:szCs w:val="24"/>
        </w:rPr>
        <w:t>The purpose of the draft code is to reflect the relevant law.  The draft code outlines the scope and effect of the Duty referring to the obligations under Sec</w:t>
      </w:r>
      <w:r>
        <w:rPr>
          <w:rFonts w:cstheme="minorHAnsi"/>
          <w:szCs w:val="24"/>
        </w:rPr>
        <w:t>tion 42 (1) and Section 42 (2)</w:t>
      </w:r>
      <w:r w:rsidRPr="004005BC">
        <w:rPr>
          <w:rFonts w:cstheme="minorHAnsi"/>
          <w:szCs w:val="24"/>
        </w:rPr>
        <w:t xml:space="preserve">”.  Do you have any comments on the explanation of these provisions in the draft code?  </w:t>
      </w:r>
    </w:p>
    <w:p w14:paraId="4A77C2EE" w14:textId="77777777" w:rsidR="00881245" w:rsidRPr="004005BC" w:rsidRDefault="00881245" w:rsidP="00881245">
      <w:pPr>
        <w:spacing w:after="2" w:line="256" w:lineRule="auto"/>
        <w:ind w:left="1065"/>
        <w:rPr>
          <w:rFonts w:cstheme="minorHAnsi"/>
          <w:szCs w:val="24"/>
        </w:rPr>
      </w:pPr>
    </w:p>
    <w:tbl>
      <w:tblPr>
        <w:tblStyle w:val="TableGrid"/>
        <w:tblW w:w="7876" w:type="dxa"/>
        <w:tblInd w:w="1151" w:type="dxa"/>
        <w:tblCellMar>
          <w:top w:w="141" w:type="dxa"/>
          <w:left w:w="150" w:type="dxa"/>
          <w:right w:w="115" w:type="dxa"/>
        </w:tblCellMar>
        <w:tblLook w:val="04A0" w:firstRow="1" w:lastRow="0" w:firstColumn="1" w:lastColumn="0" w:noHBand="0" w:noVBand="1"/>
      </w:tblPr>
      <w:tblGrid>
        <w:gridCol w:w="7876"/>
      </w:tblGrid>
      <w:tr w:rsidR="00881245" w:rsidRPr="004005BC" w14:paraId="697FCE54" w14:textId="77777777" w:rsidTr="00CC6B95">
        <w:trPr>
          <w:trHeight w:val="1126"/>
        </w:trPr>
        <w:tc>
          <w:tcPr>
            <w:tcW w:w="7876" w:type="dxa"/>
            <w:tcBorders>
              <w:top w:val="single" w:sz="6" w:space="0" w:color="000000"/>
              <w:left w:val="single" w:sz="7" w:space="0" w:color="000000"/>
              <w:bottom w:val="single" w:sz="6" w:space="0" w:color="000000"/>
              <w:right w:val="single" w:sz="6" w:space="0" w:color="000000"/>
            </w:tcBorders>
          </w:tcPr>
          <w:p w14:paraId="6F7DF4A2" w14:textId="77777777" w:rsidR="00881245" w:rsidRPr="004005BC" w:rsidRDefault="00881245" w:rsidP="00CC6B95">
            <w:pPr>
              <w:spacing w:line="259" w:lineRule="auto"/>
              <w:rPr>
                <w:rFonts w:cstheme="minorHAnsi"/>
                <w:szCs w:val="24"/>
              </w:rPr>
            </w:pPr>
            <w:r w:rsidRPr="004005BC">
              <w:rPr>
                <w:rFonts w:cstheme="minorHAnsi"/>
                <w:szCs w:val="24"/>
              </w:rPr>
              <w:tab/>
              <w:t xml:space="preserve"> </w:t>
            </w:r>
          </w:p>
          <w:p w14:paraId="4E1ED254" w14:textId="77777777" w:rsidR="00881245" w:rsidRDefault="00881245" w:rsidP="00CC6B95">
            <w:pPr>
              <w:spacing w:line="259" w:lineRule="auto"/>
              <w:rPr>
                <w:rFonts w:cstheme="minorHAnsi"/>
                <w:szCs w:val="24"/>
              </w:rPr>
            </w:pPr>
            <w:r>
              <w:rPr>
                <w:rFonts w:cstheme="minorHAnsi"/>
                <w:szCs w:val="24"/>
              </w:rPr>
              <w:t xml:space="preserve">The mandatory nature of the obligations under S. 42 (1) and S. 42 (2) are clearly described. </w:t>
            </w:r>
          </w:p>
          <w:p w14:paraId="0F77B483" w14:textId="77777777" w:rsidR="00881245" w:rsidRPr="004005BC" w:rsidRDefault="00881245" w:rsidP="00CC6B95">
            <w:pPr>
              <w:spacing w:line="259" w:lineRule="auto"/>
              <w:rPr>
                <w:rFonts w:cstheme="minorHAnsi"/>
                <w:szCs w:val="24"/>
              </w:rPr>
            </w:pPr>
          </w:p>
          <w:p w14:paraId="7E54D0D0" w14:textId="77777777" w:rsidR="00881245" w:rsidRPr="004005BC" w:rsidRDefault="00881245" w:rsidP="00CC6B95">
            <w:pPr>
              <w:spacing w:line="259" w:lineRule="auto"/>
              <w:rPr>
                <w:rFonts w:cstheme="minorHAnsi"/>
                <w:szCs w:val="24"/>
              </w:rPr>
            </w:pPr>
          </w:p>
          <w:p w14:paraId="16DBC9DB" w14:textId="77777777" w:rsidR="00881245" w:rsidRPr="004005BC" w:rsidRDefault="00881245" w:rsidP="00CC6B95">
            <w:pPr>
              <w:spacing w:line="259" w:lineRule="auto"/>
              <w:rPr>
                <w:rFonts w:cstheme="minorHAnsi"/>
                <w:szCs w:val="24"/>
              </w:rPr>
            </w:pPr>
          </w:p>
          <w:p w14:paraId="08DB87A4" w14:textId="77777777" w:rsidR="00881245" w:rsidRPr="004005BC" w:rsidRDefault="00881245" w:rsidP="00CC6B95">
            <w:pPr>
              <w:spacing w:line="259" w:lineRule="auto"/>
              <w:rPr>
                <w:rFonts w:cstheme="minorHAnsi"/>
                <w:szCs w:val="24"/>
              </w:rPr>
            </w:pPr>
          </w:p>
          <w:p w14:paraId="68EF5114" w14:textId="77777777" w:rsidR="00881245" w:rsidRPr="004005BC" w:rsidRDefault="00881245" w:rsidP="00CC6B95">
            <w:pPr>
              <w:spacing w:line="259" w:lineRule="auto"/>
              <w:rPr>
                <w:rFonts w:cstheme="minorHAnsi"/>
                <w:szCs w:val="24"/>
              </w:rPr>
            </w:pPr>
          </w:p>
          <w:p w14:paraId="40065670" w14:textId="77777777" w:rsidR="00881245" w:rsidRPr="004005BC" w:rsidRDefault="00881245" w:rsidP="00CC6B95">
            <w:pPr>
              <w:spacing w:line="259" w:lineRule="auto"/>
              <w:rPr>
                <w:rFonts w:cstheme="minorHAnsi"/>
                <w:szCs w:val="24"/>
              </w:rPr>
            </w:pPr>
          </w:p>
          <w:p w14:paraId="4E2EEF49" w14:textId="77777777" w:rsidR="00881245" w:rsidRPr="004005BC" w:rsidRDefault="00881245" w:rsidP="00CC6B95">
            <w:pPr>
              <w:spacing w:line="259" w:lineRule="auto"/>
              <w:rPr>
                <w:rFonts w:cstheme="minorHAnsi"/>
                <w:szCs w:val="24"/>
              </w:rPr>
            </w:pPr>
          </w:p>
          <w:p w14:paraId="799EB33C" w14:textId="77777777" w:rsidR="00881245" w:rsidRPr="004005BC" w:rsidRDefault="00881245" w:rsidP="00CC6B95">
            <w:pPr>
              <w:spacing w:line="259" w:lineRule="auto"/>
              <w:rPr>
                <w:rFonts w:cstheme="minorHAnsi"/>
                <w:szCs w:val="24"/>
              </w:rPr>
            </w:pPr>
          </w:p>
          <w:p w14:paraId="584EFE54" w14:textId="77777777" w:rsidR="00881245" w:rsidRPr="004005BC" w:rsidRDefault="00881245" w:rsidP="00CC6B95">
            <w:pPr>
              <w:spacing w:line="259" w:lineRule="auto"/>
              <w:rPr>
                <w:rFonts w:cstheme="minorHAnsi"/>
                <w:szCs w:val="24"/>
              </w:rPr>
            </w:pPr>
          </w:p>
        </w:tc>
      </w:tr>
    </w:tbl>
    <w:p w14:paraId="671B6958" w14:textId="77777777" w:rsidR="00881245" w:rsidRPr="004005BC" w:rsidRDefault="00881245" w:rsidP="00881245">
      <w:pPr>
        <w:spacing w:after="0"/>
        <w:rPr>
          <w:rFonts w:cstheme="minorHAnsi"/>
          <w:szCs w:val="24"/>
        </w:rPr>
      </w:pPr>
    </w:p>
    <w:p w14:paraId="21A54656" w14:textId="77777777" w:rsidR="00881245" w:rsidRPr="004005BC" w:rsidRDefault="00881245" w:rsidP="00881245">
      <w:pPr>
        <w:numPr>
          <w:ilvl w:val="0"/>
          <w:numId w:val="7"/>
        </w:numPr>
        <w:spacing w:after="2" w:line="256" w:lineRule="auto"/>
        <w:ind w:hanging="360"/>
        <w:jc w:val="both"/>
        <w:rPr>
          <w:rFonts w:cstheme="minorHAnsi"/>
          <w:szCs w:val="24"/>
        </w:rPr>
      </w:pPr>
      <w:r w:rsidRPr="004005BC">
        <w:rPr>
          <w:rFonts w:cstheme="minorHAnsi"/>
          <w:szCs w:val="24"/>
        </w:rPr>
        <w:t xml:space="preserve">The draft code includes guidance on the development of performance measures, operational standards and written preventative strategies and appropriate processes and </w:t>
      </w:r>
      <w:r w:rsidRPr="004005BC">
        <w:rPr>
          <w:rFonts w:cstheme="minorHAnsi"/>
          <w:szCs w:val="24"/>
        </w:rPr>
        <w:lastRenderedPageBreak/>
        <w:t>procedures to record, and demonstrate, compliance with the Duty. Do you have any comments on the guidance in the draft code?</w:t>
      </w:r>
    </w:p>
    <w:p w14:paraId="5C882443" w14:textId="77777777" w:rsidR="00881245" w:rsidRPr="004005BC" w:rsidRDefault="00881245" w:rsidP="00881245">
      <w:pPr>
        <w:spacing w:after="2" w:line="256" w:lineRule="auto"/>
        <w:ind w:left="1065"/>
        <w:rPr>
          <w:rFonts w:cstheme="minorHAnsi"/>
          <w:szCs w:val="24"/>
        </w:rPr>
      </w:pPr>
    </w:p>
    <w:tbl>
      <w:tblPr>
        <w:tblStyle w:val="TableGrid0"/>
        <w:tblW w:w="0" w:type="auto"/>
        <w:tblInd w:w="1065" w:type="dxa"/>
        <w:tblLook w:val="04A0" w:firstRow="1" w:lastRow="0" w:firstColumn="1" w:lastColumn="0" w:noHBand="0" w:noVBand="1"/>
      </w:tblPr>
      <w:tblGrid>
        <w:gridCol w:w="7951"/>
      </w:tblGrid>
      <w:tr w:rsidR="00881245" w:rsidRPr="004005BC" w14:paraId="3C419FB9" w14:textId="77777777" w:rsidTr="00CC6B95">
        <w:trPr>
          <w:trHeight w:val="2020"/>
        </w:trPr>
        <w:tc>
          <w:tcPr>
            <w:tcW w:w="9066" w:type="dxa"/>
          </w:tcPr>
          <w:p w14:paraId="6DE40211" w14:textId="77777777" w:rsidR="00881245" w:rsidRPr="004005BC" w:rsidRDefault="00881245" w:rsidP="00CC6B95">
            <w:pPr>
              <w:spacing w:after="2" w:line="256" w:lineRule="auto"/>
              <w:rPr>
                <w:rFonts w:cstheme="minorHAnsi"/>
                <w:szCs w:val="24"/>
              </w:rPr>
            </w:pPr>
          </w:p>
          <w:p w14:paraId="5F303D4F" w14:textId="77777777" w:rsidR="00881245" w:rsidRPr="000A7E22" w:rsidRDefault="00881245" w:rsidP="00CC6B95">
            <w:pPr>
              <w:spacing w:after="2" w:line="256" w:lineRule="auto"/>
              <w:rPr>
                <w:rFonts w:cstheme="minorHAnsi"/>
                <w:color w:val="000000" w:themeColor="text1"/>
                <w:szCs w:val="24"/>
                <w:shd w:val="clear" w:color="auto" w:fill="FFFFFF"/>
              </w:rPr>
            </w:pPr>
            <w:r>
              <w:rPr>
                <w:rFonts w:cstheme="minorHAnsi"/>
                <w:color w:val="000000" w:themeColor="text1"/>
                <w:szCs w:val="24"/>
                <w:shd w:val="clear" w:color="auto" w:fill="FFFFFF"/>
              </w:rPr>
              <w:t>The obligations under S.</w:t>
            </w:r>
            <w:r w:rsidRPr="000A7E22">
              <w:rPr>
                <w:rFonts w:cstheme="minorHAnsi"/>
                <w:color w:val="000000" w:themeColor="text1"/>
                <w:szCs w:val="24"/>
                <w:shd w:val="clear" w:color="auto" w:fill="FFFFFF"/>
              </w:rPr>
              <w:t>42</w:t>
            </w:r>
            <w:r>
              <w:rPr>
                <w:rFonts w:cstheme="minorHAnsi"/>
                <w:color w:val="000000" w:themeColor="text1"/>
                <w:szCs w:val="24"/>
                <w:shd w:val="clear" w:color="auto" w:fill="FFFFFF"/>
              </w:rPr>
              <w:t xml:space="preserve"> </w:t>
            </w:r>
            <w:r w:rsidRPr="000A7E22">
              <w:rPr>
                <w:rFonts w:cstheme="minorHAnsi"/>
                <w:color w:val="000000" w:themeColor="text1"/>
                <w:szCs w:val="24"/>
                <w:shd w:val="clear" w:color="auto" w:fill="FFFFFF"/>
              </w:rPr>
              <w:t xml:space="preserve">(2) require a public body to assess their own performance, address their own shortcomings and report on their own actions and policies to implement the duty and it is left to the public body itself to decide which issues are relevant to it and how to implement the duty. </w:t>
            </w:r>
          </w:p>
          <w:p w14:paraId="7ECE1F00" w14:textId="5F69CD3C" w:rsidR="00881245" w:rsidRPr="004005BC" w:rsidRDefault="00881245" w:rsidP="00CC6B95">
            <w:pPr>
              <w:spacing w:after="2" w:line="256" w:lineRule="auto"/>
              <w:rPr>
                <w:rFonts w:cstheme="minorHAnsi"/>
                <w:szCs w:val="24"/>
              </w:rPr>
            </w:pPr>
            <w:r w:rsidRPr="001F6172">
              <w:rPr>
                <w:rFonts w:cstheme="minorHAnsi"/>
                <w:szCs w:val="24"/>
              </w:rPr>
              <w:t>While, understandably</w:t>
            </w:r>
            <w:r>
              <w:rPr>
                <w:rFonts w:cstheme="minorHAnsi"/>
                <w:szCs w:val="24"/>
              </w:rPr>
              <w:t xml:space="preserve">, some flexibility in implementation standards is required </w:t>
            </w:r>
            <w:r w:rsidRPr="001F6172">
              <w:rPr>
                <w:rFonts w:cstheme="minorHAnsi"/>
                <w:szCs w:val="24"/>
              </w:rPr>
              <w:t xml:space="preserve">to reflect the huge variety of organisations, functions and resources </w:t>
            </w:r>
            <w:r>
              <w:rPr>
                <w:rFonts w:cstheme="minorHAnsi"/>
                <w:szCs w:val="24"/>
              </w:rPr>
              <w:t xml:space="preserve">of the public bodies that come </w:t>
            </w:r>
            <w:r w:rsidRPr="001F6172">
              <w:rPr>
                <w:rFonts w:cstheme="minorHAnsi"/>
                <w:szCs w:val="24"/>
              </w:rPr>
              <w:t xml:space="preserve">under the remit of </w:t>
            </w:r>
            <w:r>
              <w:rPr>
                <w:rFonts w:cstheme="minorHAnsi"/>
                <w:szCs w:val="24"/>
              </w:rPr>
              <w:t>S.42</w:t>
            </w:r>
            <w:r w:rsidRPr="001F6172">
              <w:rPr>
                <w:rFonts w:cstheme="minorHAnsi"/>
                <w:szCs w:val="24"/>
              </w:rPr>
              <w:t xml:space="preserve">, </w:t>
            </w:r>
            <w:r>
              <w:rPr>
                <w:rFonts w:cstheme="minorHAnsi"/>
                <w:szCs w:val="24"/>
              </w:rPr>
              <w:t xml:space="preserve">in our view this must be balanced against the need to ensure consistency of outcomes.  Our work in MLRC focuses on engagements with local authorities in respect of delivery of social housing and homeless services. While each local authority will have unique challenges, there are broad similarities in the human rights issues that arise in relation to housing / homelessness matters.  We have observed huge variation across local authorities in terms of their understanding of and focus on the human rights dimension to their housing functions, and awareness of S. 42 generally among decision makers.  In that context, we feel that stronger guidance may be required and suggest that consideration be given to more granular sector-specific guidance being developed under the Commission’s section 42(3) powers for key areas such as housing. </w:t>
            </w:r>
          </w:p>
          <w:p w14:paraId="44884EBE" w14:textId="77777777" w:rsidR="00881245" w:rsidRPr="004005BC" w:rsidRDefault="00881245" w:rsidP="00CC6B95">
            <w:pPr>
              <w:spacing w:after="2" w:line="256" w:lineRule="auto"/>
              <w:rPr>
                <w:rFonts w:cstheme="minorHAnsi"/>
                <w:szCs w:val="24"/>
              </w:rPr>
            </w:pPr>
          </w:p>
        </w:tc>
      </w:tr>
    </w:tbl>
    <w:p w14:paraId="3C9947BC" w14:textId="77777777" w:rsidR="00881245" w:rsidRPr="004005BC" w:rsidRDefault="00881245" w:rsidP="00881245">
      <w:pPr>
        <w:spacing w:after="2" w:line="256" w:lineRule="auto"/>
        <w:ind w:left="1065"/>
        <w:rPr>
          <w:rFonts w:cstheme="minorHAnsi"/>
          <w:szCs w:val="24"/>
        </w:rPr>
      </w:pPr>
    </w:p>
    <w:p w14:paraId="5F61D4BB" w14:textId="77777777" w:rsidR="00881245" w:rsidRPr="004005BC" w:rsidRDefault="00881245" w:rsidP="00881245">
      <w:pPr>
        <w:numPr>
          <w:ilvl w:val="0"/>
          <w:numId w:val="7"/>
        </w:numPr>
        <w:spacing w:after="2" w:line="256" w:lineRule="auto"/>
        <w:ind w:hanging="360"/>
        <w:jc w:val="both"/>
        <w:rPr>
          <w:rFonts w:cstheme="minorHAnsi"/>
          <w:szCs w:val="24"/>
        </w:rPr>
      </w:pPr>
      <w:r w:rsidRPr="004005BC">
        <w:rPr>
          <w:rFonts w:cstheme="minorHAnsi"/>
          <w:szCs w:val="24"/>
        </w:rPr>
        <w:t xml:space="preserve"> Are there aspects of implementation of the Duty which are not fully covered in the draft code? If so, please specify what extra information should be included. </w:t>
      </w:r>
    </w:p>
    <w:p w14:paraId="472AF72E" w14:textId="77777777" w:rsidR="00881245" w:rsidRPr="004005BC" w:rsidRDefault="00881245" w:rsidP="00881245">
      <w:pPr>
        <w:spacing w:after="0"/>
        <w:ind w:left="720" w:right="49"/>
        <w:rPr>
          <w:rFonts w:cstheme="minorHAnsi"/>
          <w:szCs w:val="24"/>
        </w:rPr>
      </w:pPr>
      <w:r w:rsidRPr="004005BC">
        <w:rPr>
          <w:rFonts w:cstheme="minorHAnsi"/>
          <w:szCs w:val="24"/>
        </w:rPr>
        <w:t xml:space="preserve"> </w:t>
      </w:r>
    </w:p>
    <w:tbl>
      <w:tblPr>
        <w:tblStyle w:val="TableGrid"/>
        <w:tblW w:w="7876" w:type="dxa"/>
        <w:tblInd w:w="1151" w:type="dxa"/>
        <w:tblCellMar>
          <w:top w:w="136" w:type="dxa"/>
          <w:left w:w="150" w:type="dxa"/>
          <w:right w:w="115" w:type="dxa"/>
        </w:tblCellMar>
        <w:tblLook w:val="04A0" w:firstRow="1" w:lastRow="0" w:firstColumn="1" w:lastColumn="0" w:noHBand="0" w:noVBand="1"/>
      </w:tblPr>
      <w:tblGrid>
        <w:gridCol w:w="7876"/>
      </w:tblGrid>
      <w:tr w:rsidR="00881245" w:rsidRPr="004005BC" w14:paraId="155FEC15" w14:textId="77777777" w:rsidTr="00CC6B95">
        <w:trPr>
          <w:trHeight w:val="1123"/>
        </w:trPr>
        <w:tc>
          <w:tcPr>
            <w:tcW w:w="7876" w:type="dxa"/>
            <w:tcBorders>
              <w:top w:val="single" w:sz="6" w:space="0" w:color="000000"/>
              <w:left w:val="single" w:sz="7" w:space="0" w:color="000000"/>
              <w:bottom w:val="single" w:sz="6" w:space="0" w:color="000000"/>
              <w:right w:val="single" w:sz="6" w:space="0" w:color="000000"/>
            </w:tcBorders>
          </w:tcPr>
          <w:p w14:paraId="5659731B" w14:textId="77777777" w:rsidR="00881245" w:rsidRPr="004005BC" w:rsidRDefault="00881245" w:rsidP="00CC6B95">
            <w:pPr>
              <w:spacing w:line="259" w:lineRule="auto"/>
              <w:rPr>
                <w:rFonts w:cstheme="minorHAnsi"/>
                <w:szCs w:val="24"/>
              </w:rPr>
            </w:pPr>
          </w:p>
          <w:p w14:paraId="40A1B304" w14:textId="77777777" w:rsidR="00881245" w:rsidRPr="004005BC" w:rsidRDefault="00881245" w:rsidP="00CC6B95">
            <w:pPr>
              <w:spacing w:line="259" w:lineRule="auto"/>
              <w:rPr>
                <w:rFonts w:cstheme="minorHAnsi"/>
                <w:szCs w:val="24"/>
              </w:rPr>
            </w:pPr>
            <w:r>
              <w:rPr>
                <w:rFonts w:cstheme="minorHAnsi"/>
                <w:szCs w:val="24"/>
              </w:rPr>
              <w:t xml:space="preserve">It would be useful to get some clearer guidance in the code as to what constitutes a failure of compliance, notwithstanding its absence from the act itself. </w:t>
            </w:r>
          </w:p>
          <w:p w14:paraId="1C76D1EB" w14:textId="77777777" w:rsidR="00881245" w:rsidRPr="004005BC" w:rsidRDefault="00881245" w:rsidP="00CC6B95">
            <w:pPr>
              <w:spacing w:line="259" w:lineRule="auto"/>
              <w:rPr>
                <w:rFonts w:cstheme="minorHAnsi"/>
                <w:szCs w:val="24"/>
              </w:rPr>
            </w:pPr>
          </w:p>
        </w:tc>
      </w:tr>
    </w:tbl>
    <w:p w14:paraId="2188347E" w14:textId="16C5AE52" w:rsidR="00810156" w:rsidRPr="00CC4521" w:rsidRDefault="00810156" w:rsidP="00881245">
      <w:pPr>
        <w:spacing w:after="0" w:line="240" w:lineRule="auto"/>
        <w:jc w:val="both"/>
        <w:rPr>
          <w:rFonts w:eastAsia="Calibri" w:cstheme="minorHAnsi"/>
          <w:b/>
          <w:u w:val="single"/>
        </w:rPr>
      </w:pPr>
    </w:p>
    <w:sectPr w:rsidR="00810156" w:rsidRPr="00CC4521" w:rsidSect="00CC4521">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4E14" w14:textId="77777777" w:rsidR="00E03F96" w:rsidRDefault="00E03F96" w:rsidP="001879B5">
      <w:pPr>
        <w:spacing w:after="0" w:line="240" w:lineRule="auto"/>
      </w:pPr>
      <w:r>
        <w:separator/>
      </w:r>
    </w:p>
  </w:endnote>
  <w:endnote w:type="continuationSeparator" w:id="0">
    <w:p w14:paraId="02AF3E4E" w14:textId="77777777" w:rsidR="00E03F96" w:rsidRDefault="00E03F96" w:rsidP="0018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C8EE" w14:textId="77777777" w:rsidR="00E03F96" w:rsidRDefault="00E03F96" w:rsidP="001879B5">
      <w:pPr>
        <w:spacing w:after="0" w:line="240" w:lineRule="auto"/>
      </w:pPr>
      <w:r>
        <w:separator/>
      </w:r>
    </w:p>
  </w:footnote>
  <w:footnote w:type="continuationSeparator" w:id="0">
    <w:p w14:paraId="62334F5E" w14:textId="77777777" w:rsidR="00E03F96" w:rsidRDefault="00E03F96" w:rsidP="00187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EE5" w14:textId="05AA779C" w:rsidR="001879B5" w:rsidRDefault="001879B5" w:rsidP="001879B5">
    <w:pPr>
      <w:pStyle w:val="Subtitle"/>
      <w:spacing w:after="0" w:line="240" w:lineRule="aut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5497"/>
    <w:multiLevelType w:val="hybridMultilevel"/>
    <w:tmpl w:val="D50495EC"/>
    <w:lvl w:ilvl="0" w:tplc="A02E912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A6E7D"/>
    <w:multiLevelType w:val="hybridMultilevel"/>
    <w:tmpl w:val="EF6A39D2"/>
    <w:lvl w:ilvl="0" w:tplc="2670DE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A55068"/>
    <w:multiLevelType w:val="hybridMultilevel"/>
    <w:tmpl w:val="42982C42"/>
    <w:lvl w:ilvl="0" w:tplc="288CFA66">
      <w:start w:val="1"/>
      <w:numFmt w:val="decimal"/>
      <w:lvlText w:val="%1."/>
      <w:lvlJc w:val="left"/>
      <w:pPr>
        <w:ind w:left="106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EBA4A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ADA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2DE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01D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8B2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627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A9F1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28E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974834"/>
    <w:multiLevelType w:val="hybridMultilevel"/>
    <w:tmpl w:val="D786AB0A"/>
    <w:lvl w:ilvl="0" w:tplc="FC026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A213C00"/>
    <w:multiLevelType w:val="hybridMultilevel"/>
    <w:tmpl w:val="E1C4A0BC"/>
    <w:lvl w:ilvl="0" w:tplc="221E57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5950215"/>
    <w:multiLevelType w:val="hybridMultilevel"/>
    <w:tmpl w:val="0032B782"/>
    <w:lvl w:ilvl="0" w:tplc="BECE60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1B7EE6"/>
    <w:multiLevelType w:val="hybridMultilevel"/>
    <w:tmpl w:val="08969F7E"/>
    <w:lvl w:ilvl="0" w:tplc="2C82F45C">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389825">
    <w:abstractNumId w:val="5"/>
  </w:num>
  <w:num w:numId="2" w16cid:durableId="753011726">
    <w:abstractNumId w:val="4"/>
  </w:num>
  <w:num w:numId="3" w16cid:durableId="476806269">
    <w:abstractNumId w:val="1"/>
  </w:num>
  <w:num w:numId="4" w16cid:durableId="392585358">
    <w:abstractNumId w:val="3"/>
  </w:num>
  <w:num w:numId="5" w16cid:durableId="274945761">
    <w:abstractNumId w:val="6"/>
  </w:num>
  <w:num w:numId="6" w16cid:durableId="80488630">
    <w:abstractNumId w:val="0"/>
  </w:num>
  <w:num w:numId="7" w16cid:durableId="1275285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1B"/>
    <w:rsid w:val="00003963"/>
    <w:rsid w:val="00026819"/>
    <w:rsid w:val="000319BB"/>
    <w:rsid w:val="000C22B2"/>
    <w:rsid w:val="000C3B58"/>
    <w:rsid w:val="000D7B92"/>
    <w:rsid w:val="000F594A"/>
    <w:rsid w:val="0010449C"/>
    <w:rsid w:val="001607EF"/>
    <w:rsid w:val="001879B5"/>
    <w:rsid w:val="001E2903"/>
    <w:rsid w:val="0020237B"/>
    <w:rsid w:val="00214495"/>
    <w:rsid w:val="00247A56"/>
    <w:rsid w:val="003176EF"/>
    <w:rsid w:val="00334B1F"/>
    <w:rsid w:val="00340C71"/>
    <w:rsid w:val="00354A26"/>
    <w:rsid w:val="00362729"/>
    <w:rsid w:val="00387087"/>
    <w:rsid w:val="00414946"/>
    <w:rsid w:val="004576C2"/>
    <w:rsid w:val="0049183E"/>
    <w:rsid w:val="004A6AB4"/>
    <w:rsid w:val="004E3079"/>
    <w:rsid w:val="00502717"/>
    <w:rsid w:val="0051102B"/>
    <w:rsid w:val="00540CEB"/>
    <w:rsid w:val="005437AD"/>
    <w:rsid w:val="00544DF0"/>
    <w:rsid w:val="005C291F"/>
    <w:rsid w:val="00602338"/>
    <w:rsid w:val="006728DC"/>
    <w:rsid w:val="00673606"/>
    <w:rsid w:val="0068169A"/>
    <w:rsid w:val="00685589"/>
    <w:rsid w:val="006A733F"/>
    <w:rsid w:val="00703AD6"/>
    <w:rsid w:val="007048AA"/>
    <w:rsid w:val="00743B47"/>
    <w:rsid w:val="00746A5E"/>
    <w:rsid w:val="00762EFF"/>
    <w:rsid w:val="0078271B"/>
    <w:rsid w:val="00810156"/>
    <w:rsid w:val="008275AF"/>
    <w:rsid w:val="0086038B"/>
    <w:rsid w:val="00881245"/>
    <w:rsid w:val="008A45A9"/>
    <w:rsid w:val="008B0F30"/>
    <w:rsid w:val="008B4956"/>
    <w:rsid w:val="008E349E"/>
    <w:rsid w:val="008F3BC1"/>
    <w:rsid w:val="00927265"/>
    <w:rsid w:val="009678A8"/>
    <w:rsid w:val="009B106C"/>
    <w:rsid w:val="009B56D1"/>
    <w:rsid w:val="009C5549"/>
    <w:rsid w:val="009C5F58"/>
    <w:rsid w:val="009F3307"/>
    <w:rsid w:val="00A202F7"/>
    <w:rsid w:val="00A84910"/>
    <w:rsid w:val="00AC3955"/>
    <w:rsid w:val="00B51131"/>
    <w:rsid w:val="00B55D31"/>
    <w:rsid w:val="00B62B79"/>
    <w:rsid w:val="00B71919"/>
    <w:rsid w:val="00B87C4A"/>
    <w:rsid w:val="00BB0703"/>
    <w:rsid w:val="00BB10DA"/>
    <w:rsid w:val="00BD6993"/>
    <w:rsid w:val="00C20872"/>
    <w:rsid w:val="00C401D3"/>
    <w:rsid w:val="00C80957"/>
    <w:rsid w:val="00C903E4"/>
    <w:rsid w:val="00C92C4A"/>
    <w:rsid w:val="00CA2C07"/>
    <w:rsid w:val="00CB2C7E"/>
    <w:rsid w:val="00CC4521"/>
    <w:rsid w:val="00D14858"/>
    <w:rsid w:val="00D30AB2"/>
    <w:rsid w:val="00D84916"/>
    <w:rsid w:val="00D86660"/>
    <w:rsid w:val="00DF3D7A"/>
    <w:rsid w:val="00E03F96"/>
    <w:rsid w:val="00E73179"/>
    <w:rsid w:val="00EA5900"/>
    <w:rsid w:val="00ED455D"/>
    <w:rsid w:val="00ED6CFD"/>
    <w:rsid w:val="00EE0523"/>
    <w:rsid w:val="00EF350D"/>
    <w:rsid w:val="00F44D78"/>
    <w:rsid w:val="00F778DA"/>
    <w:rsid w:val="00FD68F8"/>
    <w:rsid w:val="00FE6CBD"/>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708E6"/>
  <w15:chartTrackingRefBased/>
  <w15:docId w15:val="{0DAC1949-D475-4C6A-98D4-66DDADEE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2903"/>
    <w:pPr>
      <w:ind w:left="720"/>
      <w:contextualSpacing/>
    </w:pPr>
  </w:style>
  <w:style w:type="paragraph" w:styleId="Header">
    <w:name w:val="header"/>
    <w:basedOn w:val="Normal"/>
    <w:link w:val="HeaderChar"/>
    <w:uiPriority w:val="99"/>
    <w:unhideWhenUsed/>
    <w:rsid w:val="00187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9B5"/>
  </w:style>
  <w:style w:type="paragraph" w:styleId="Footer">
    <w:name w:val="footer"/>
    <w:basedOn w:val="Normal"/>
    <w:link w:val="FooterChar"/>
    <w:uiPriority w:val="99"/>
    <w:unhideWhenUsed/>
    <w:rsid w:val="00187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9B5"/>
  </w:style>
  <w:style w:type="paragraph" w:styleId="Subtitle">
    <w:name w:val="Subtitle"/>
    <w:basedOn w:val="Normal"/>
    <w:next w:val="Normal"/>
    <w:link w:val="SubtitleChar"/>
    <w:uiPriority w:val="11"/>
    <w:qFormat/>
    <w:rsid w:val="001879B5"/>
    <w:pPr>
      <w:numPr>
        <w:ilvl w:val="1"/>
      </w:numPr>
      <w:spacing w:after="200" w:line="276" w:lineRule="auto"/>
    </w:pPr>
    <w:rPr>
      <w:rFonts w:asciiTheme="majorHAnsi" w:eastAsiaTheme="majorEastAsia" w:hAnsiTheme="majorHAnsi" w:cstheme="majorBidi"/>
      <w:i/>
      <w:color w:val="4472C4" w:themeColor="accent1"/>
      <w:spacing w:val="15"/>
      <w:sz w:val="24"/>
      <w:szCs w:val="24"/>
    </w:rPr>
  </w:style>
  <w:style w:type="character" w:customStyle="1" w:styleId="SubtitleChar">
    <w:name w:val="Subtitle Char"/>
    <w:basedOn w:val="DefaultParagraphFont"/>
    <w:link w:val="Subtitle"/>
    <w:uiPriority w:val="11"/>
    <w:rsid w:val="001879B5"/>
    <w:rPr>
      <w:rFonts w:asciiTheme="majorHAnsi" w:eastAsiaTheme="majorEastAsia" w:hAnsiTheme="majorHAnsi" w:cstheme="majorBidi"/>
      <w:i/>
      <w:color w:val="4472C4" w:themeColor="accent1"/>
      <w:spacing w:val="15"/>
      <w:sz w:val="24"/>
      <w:szCs w:val="24"/>
    </w:rPr>
  </w:style>
  <w:style w:type="character" w:styleId="Hyperlink">
    <w:name w:val="Hyperlink"/>
    <w:basedOn w:val="DefaultParagraphFont"/>
    <w:uiPriority w:val="99"/>
    <w:unhideWhenUsed/>
    <w:rsid w:val="001879B5"/>
    <w:rPr>
      <w:color w:val="0563C1" w:themeColor="hyperlink"/>
      <w:u w:val="single"/>
    </w:rPr>
  </w:style>
  <w:style w:type="paragraph" w:styleId="NoSpacing">
    <w:name w:val="No Spacing"/>
    <w:uiPriority w:val="1"/>
    <w:qFormat/>
    <w:rsid w:val="001879B5"/>
    <w:pPr>
      <w:spacing w:after="0" w:line="240" w:lineRule="auto"/>
    </w:pPr>
    <w:rPr>
      <w:rFonts w:ascii="Calibri" w:eastAsia="Calibri" w:hAnsi="Calibri" w:cs="Times New Roman"/>
      <w:lang w:val="en-US"/>
    </w:rPr>
  </w:style>
  <w:style w:type="table" w:customStyle="1" w:styleId="TableGrid">
    <w:name w:val="TableGrid"/>
    <w:rsid w:val="00881245"/>
    <w:pPr>
      <w:spacing w:after="0" w:line="240" w:lineRule="auto"/>
    </w:pPr>
    <w:rPr>
      <w:rFonts w:eastAsiaTheme="minorEastAsia"/>
      <w:lang w:eastAsia="en-IE"/>
    </w:rPr>
    <w:tblPr>
      <w:tblCellMar>
        <w:top w:w="0" w:type="dxa"/>
        <w:left w:w="0" w:type="dxa"/>
        <w:bottom w:w="0" w:type="dxa"/>
        <w:right w:w="0" w:type="dxa"/>
      </w:tblCellMar>
    </w:tblPr>
  </w:style>
  <w:style w:type="table" w:styleId="TableGrid0">
    <w:name w:val="Table Grid"/>
    <w:basedOn w:val="TableNormal"/>
    <w:uiPriority w:val="39"/>
    <w:rsid w:val="00881245"/>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6828">
      <w:bodyDiv w:val="1"/>
      <w:marLeft w:val="0"/>
      <w:marRight w:val="0"/>
      <w:marTop w:val="0"/>
      <w:marBottom w:val="0"/>
      <w:divBdr>
        <w:top w:val="none" w:sz="0" w:space="0" w:color="auto"/>
        <w:left w:val="none" w:sz="0" w:space="0" w:color="auto"/>
        <w:bottom w:val="none" w:sz="0" w:space="0" w:color="auto"/>
        <w:right w:val="none" w:sz="0" w:space="0" w:color="auto"/>
      </w:divBdr>
    </w:div>
    <w:div w:id="18379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ylaw.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Paralegal</dc:creator>
  <cp:keywords/>
  <dc:description/>
  <cp:lastModifiedBy>Siobhán Tracey</cp:lastModifiedBy>
  <cp:revision>3</cp:revision>
  <dcterms:created xsi:type="dcterms:W3CDTF">2023-07-03T09:06:00Z</dcterms:created>
  <dcterms:modified xsi:type="dcterms:W3CDTF">2023-07-11T10:19:00Z</dcterms:modified>
</cp:coreProperties>
</file>